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</w:pPr>
      <w:r>
        <w:t>项目需求书（</w:t>
      </w:r>
      <w:r>
        <w:rPr>
          <w:rFonts w:hint="eastAsia"/>
        </w:rPr>
        <w:t>乘用车、客车</w:t>
      </w:r>
      <w:r>
        <w:t>）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乘用车、客车</w:t>
      </w:r>
      <w:r>
        <w:rPr>
          <w:rFonts w:ascii="Times New Roman" w:hAnsi="Times New Roman" w:cs="Times New Roman"/>
          <w:sz w:val="24"/>
          <w:szCs w:val="24"/>
        </w:rPr>
        <w:t>项目需求书应至少包括以下内容，请采购人按此标准填写，谢谢。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项目背景</w:t>
      </w:r>
    </w:p>
    <w:p>
      <w:pPr>
        <w:pStyle w:val="13"/>
        <w:spacing w:line="360" w:lineRule="auto"/>
        <w:ind w:left="992" w:firstLine="0" w:firstLineChars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为保障区域内采供血业务正常运行，以满足临床用血需求，现因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业务需要采购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采血车一辆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>二、项目预算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</w:rPr>
        <w:t>第一包：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80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0000元；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预算应包含车辆及附件货款、运输费、运输保险费、装卸费、安装调试费及其他应有的费用。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不包含装具费用、机动车保险、车辆购置税、机动车号牌费用。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三、</w:t>
      </w:r>
      <w:r>
        <w:rPr>
          <w:rFonts w:hint="eastAsia" w:ascii="Times New Roman" w:hAnsi="Times New Roman" w:cs="Times New Roman"/>
          <w:b/>
          <w:sz w:val="24"/>
          <w:szCs w:val="24"/>
        </w:rPr>
        <w:t>资格要求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（一）投标人须具备《中华人民共和国政府采购法》第二十二条第一款规定的条件。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（二）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本项目不接受联</w:t>
      </w:r>
      <w:r>
        <w:rPr>
          <w:rFonts w:hint="eastAsia" w:ascii="Times New Roman" w:hAnsi="Times New Roman" w:cs="Times New Roman"/>
          <w:sz w:val="24"/>
          <w:szCs w:val="24"/>
        </w:rPr>
        <w:t>合体。</w:t>
      </w:r>
    </w:p>
    <w:p>
      <w:pPr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四、</w:t>
      </w:r>
      <w:r>
        <w:rPr>
          <w:rFonts w:ascii="Times New Roman" w:hAnsi="Times New Roman" w:cs="Times New Roman"/>
          <w:b/>
          <w:sz w:val="24"/>
          <w:szCs w:val="24"/>
        </w:rPr>
        <w:t>服务要求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所投车辆包修期限不低于3年或者行驶里程100000公里，以先到者为准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改装部分质保1年，具体零部件质保期以质保手册为准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锂电池质保5年电池衰减不超30%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  <w:t>；所投车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辆三包（修理、更换、退货）有效期限不低于2年或者行驶里程50,000公里，以先到者为准。包修期和三包有效期自供应商开具购车发票之日起计算。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在包修期内，车辆出现产品质量问题，供应商负责免费修理（包括工时费和材料费）。</w:t>
      </w:r>
    </w:p>
    <w:p>
      <w:pPr>
        <w:autoSpaceDE w:val="0"/>
        <w:autoSpaceDN w:val="0"/>
        <w:spacing w:line="360" w:lineRule="auto"/>
        <w:ind w:firstLine="482" w:firstLineChars="200"/>
        <w:rPr>
          <w:rFonts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b/>
          <w:color w:val="auto"/>
          <w:sz w:val="24"/>
          <w:highlight w:val="none"/>
        </w:rPr>
        <w:t>五</w:t>
      </w:r>
      <w:r>
        <w:rPr>
          <w:rFonts w:ascii="Times New Roman" w:hAnsi="Times New Roman" w:cs="Times New Roman"/>
          <w:b/>
          <w:color w:val="auto"/>
          <w:sz w:val="24"/>
          <w:highlight w:val="none"/>
        </w:rPr>
        <w:t>、交货要求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交货时间：签订合同后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40日内。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交货地点：采购方指定地点。</w:t>
      </w:r>
    </w:p>
    <w:p>
      <w:pPr>
        <w:autoSpaceDE w:val="0"/>
        <w:autoSpaceDN w:val="0"/>
        <w:spacing w:line="360" w:lineRule="auto"/>
        <w:ind w:firstLine="482" w:firstLineChars="200"/>
        <w:rPr>
          <w:rFonts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b/>
          <w:color w:val="auto"/>
          <w:sz w:val="24"/>
          <w:highlight w:val="none"/>
        </w:rPr>
        <w:t>六</w:t>
      </w:r>
      <w:r>
        <w:rPr>
          <w:rFonts w:ascii="Times New Roman" w:hAnsi="Times New Roman" w:cs="Times New Roman"/>
          <w:b/>
          <w:color w:val="auto"/>
          <w:sz w:val="24"/>
          <w:highlight w:val="none"/>
        </w:rPr>
        <w:t>、付款方式</w:t>
      </w:r>
    </w:p>
    <w:p>
      <w:pPr>
        <w:autoSpaceDE w:val="0"/>
        <w:autoSpaceDN w:val="0"/>
        <w:spacing w:line="360" w:lineRule="auto"/>
        <w:ind w:firstLine="964" w:firstLineChars="400"/>
        <w:rPr>
          <w:rFonts w:hint="eastAsia" w:ascii="Times New Roman" w:hAnsi="Times New Roman" w:cs="Times New Roman" w:eastAsiaTheme="minorEastAsia"/>
          <w:b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sz w:val="24"/>
          <w:lang w:val="en-US" w:eastAsia="zh-CN"/>
        </w:rPr>
        <w:t>待定</w:t>
      </w:r>
    </w:p>
    <w:p>
      <w:pPr>
        <w:numPr>
          <w:ilvl w:val="0"/>
          <w:numId w:val="2"/>
        </w:numPr>
        <w:autoSpaceDE w:val="0"/>
        <w:autoSpaceDN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技术要求</w:t>
      </w:r>
    </w:p>
    <w:p>
      <w:pPr>
        <w:autoSpaceDE w:val="0"/>
        <w:autoSpaceDN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</w:rPr>
      </w:pP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52"/>
        <w:gridCol w:w="492"/>
        <w:gridCol w:w="636"/>
        <w:gridCol w:w="1293"/>
        <w:gridCol w:w="4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Header/>
          <w:jc w:val="center"/>
        </w:trPr>
        <w:tc>
          <w:tcPr>
            <w:tcW w:w="267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441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采购项名称</w:t>
            </w:r>
          </w:p>
        </w:tc>
        <w:tc>
          <w:tcPr>
            <w:tcW w:w="288" w:type="pc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数量</w:t>
            </w:r>
          </w:p>
        </w:tc>
        <w:tc>
          <w:tcPr>
            <w:tcW w:w="4002" w:type="pct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需求条款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第一包</w:t>
            </w:r>
          </w:p>
        </w:tc>
        <w:tc>
          <w:tcPr>
            <w:tcW w:w="75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小型采血车</w:t>
            </w:r>
          </w:p>
        </w:tc>
        <w:tc>
          <w:tcPr>
            <w:tcW w:w="492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1辆</w:t>
            </w: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1</w:t>
            </w:r>
          </w:p>
        </w:tc>
        <w:tc>
          <w:tcPr>
            <w:tcW w:w="3628" w:type="pct"/>
            <w:gridSpan w:val="2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车辆配置要求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★</w:t>
            </w:r>
            <w:r>
              <w:rPr>
                <w:rFonts w:hint="eastAsia" w:ascii="宋体" w:hAnsi="宋体"/>
                <w:szCs w:val="21"/>
              </w:rPr>
              <w:t>整车要求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必须具有“医疗车”专用车公告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提供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工信部发布的</w:t>
            </w:r>
            <w:r>
              <w:rPr>
                <w:rFonts w:hint="eastAsia" w:ascii="宋体" w:hAnsi="宋体"/>
                <w:bCs/>
                <w:szCs w:val="21"/>
              </w:rPr>
              <w:t>医疗车公告页截图并加盖投标人公章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1.2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采血车造型结构要求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采用房车平台改装，满足献血功能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1.3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总长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5970mm</w:t>
            </w:r>
            <w:r>
              <w:rPr>
                <w:rFonts w:hint="eastAsia" w:ascii="宋体" w:hAnsi="宋体"/>
                <w:bCs/>
                <w:color w:val="FF000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5990mm</w:t>
            </w:r>
            <w:r>
              <w:rPr>
                <w:rFonts w:hint="eastAsia" w:ascii="宋体" w:hAnsi="宋体" w:eastAsia="宋体" w:cs="仿宋"/>
                <w:bCs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1.4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总宽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2350mm</w:t>
            </w:r>
            <w:r>
              <w:rPr>
                <w:rFonts w:hint="eastAsia" w:ascii="宋体" w:hAnsi="宋体"/>
                <w:bCs/>
                <w:color w:val="FF000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2430 mm</w:t>
            </w:r>
            <w:r>
              <w:rPr>
                <w:rFonts w:hint="eastAsia" w:ascii="宋体" w:hAnsi="宋体" w:eastAsia="宋体" w:cs="仿宋"/>
                <w:bCs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1.5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总高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3270mm</w:t>
            </w:r>
            <w:r>
              <w:rPr>
                <w:rFonts w:hint="eastAsia" w:ascii="宋体" w:hAnsi="宋体"/>
                <w:bCs/>
                <w:color w:val="FF0000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3310mm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1.6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轴距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≤3300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1.7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载客人数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≥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1.8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最大总质量(kg)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≤4500kg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1.9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整备质量(kg)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≤4360kg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1.10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前悬(mm)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990mm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1.11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后悬(mm)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  <w:lang w:eastAsia="zh-CN"/>
              </w:rPr>
              <w:t>≥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>1660mm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1.12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前轮距(mm)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≥1725(mm)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1.13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后轮距(mm)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≥1750(mm)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1.14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发动机安装位置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发动机向前伸出车厢、外置安装（降低车内噪音，提高医疗车内舒适度）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1.15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发动机额定功率(kW/rpm)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≥125/3500(kW/rpm)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1.16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发动机排放标准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国六排放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1.17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发动排量(L)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≥2.998L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1.18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最高车速Km/h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≥130Km/h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1.19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变速器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8档自动变速箱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1.20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前后桥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国产前桥、国产后桥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1.21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悬架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前独立悬架、后三片簧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1.22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制动系统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前后盘式制动，ABS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1.23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轮胎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195/75R16LT 10PR，无内胎子午线轮胎，胎压报警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1.24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油箱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≥100L油箱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1.25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定速巡航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有定速巡航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1.26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中控锁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有中控锁（可控制正副司机门）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1.27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电动升降玻璃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电动升降玻璃（正副司机门）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1.28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外后视镜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电动调节后视镜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1.29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倒车雷达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原车自带倒车雷达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1.30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驾驶室座椅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原车自带正、副司机椅, 副司机椅为双人座椅（可旋转）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1.31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车门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正副司机门；乘客门，乘客门电动伸缩踏步,后备仓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1.32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侧窗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车厢两侧各2块玻璃，下拉式卷轴窗帘（米黄色）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1.33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灯具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整体式组合前大灯、后尾灯,前后示高灯,高位刹车灯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</w:p>
        </w:tc>
        <w:tc>
          <w:tcPr>
            <w:tcW w:w="3628" w:type="pct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内饰配置要求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2.1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车身内饰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浅色内饰风格，坐垫、座椅米黄拼色；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地板采用具有阻燃性质竹胶地板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选用环保、耐磨、防滑、阻燃的石英砂地板革；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环保性能：气味等级（40°C气味等级3.0；80°C气味等级3.5）；甲醛≤10mg/kg；TVOC≤50μgC/g，苯和甲苯≤5μg/g。（提供第三方检测报告）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耐磨性能：参照GB/T 18102,使用P180粒度砂布粘在砂轮上，负载4.9N，60r/min,可以达到循环20000次，不漏地。（提供第三方检测报告）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防滑性能：纵向和横向防滑性能均可以达到R10。（提供第三方检测报告）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阻燃性能：阻燃性能可以达到GB8410《汽车内饰材料的燃烧特性》要求。（提供第三方检测报告）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</w:p>
        </w:tc>
        <w:tc>
          <w:tcPr>
            <w:tcW w:w="3628" w:type="pct"/>
            <w:gridSpan w:val="2"/>
            <w:vAlign w:val="center"/>
          </w:tcPr>
          <w:p>
            <w:pPr>
              <w:spacing w:line="276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改装配置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及技术</w:t>
            </w:r>
            <w:r>
              <w:rPr>
                <w:rFonts w:hint="eastAsia" w:ascii="宋体" w:hAnsi="宋体"/>
                <w:b/>
                <w:bCs/>
                <w:szCs w:val="21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.1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车身结构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高强度铝合金骨架结构，房车专用工艺层压板，增强整体层压板强度的同时，增加保温隔热性能。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3.2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医疗舱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医疗舱技术要求：</w:t>
            </w:r>
            <w:r>
              <w:rPr>
                <w:rFonts w:hint="eastAsia" w:ascii="宋体" w:hAnsi="宋体"/>
                <w:bCs/>
                <w:szCs w:val="21"/>
              </w:rPr>
              <w:tab/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采用三明治车身层压工艺；层压板骨架高强度铝合金焊接结构。外墙板使用机制成型玻璃钢板,填充XPS/EPS泡沫；层压板压制用胶为知名品牌；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内部墙板使用专用复合板材（禁止玻璃钢），提供甲醛、抗冲击、耐刮擦性、气味的检测报告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层压板弯曲性能≥2.3Mpa，剪切强度＞0.4Mpa，压缩强度＞0.8Mpa；提供第三方检测报告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层压板防潮性＜0.6%，阻燃特性≤100mm/min，导热系数≤0.04 W/(m•K)，提供第三方检测报告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板材覆膜材料为PP材质，提供氨、甲醛、甲苯、二甲苯检测报告，覆膜基板具有阻燃报告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3.3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市电空调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顶置空调1台，要求如下：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电源 220-240V～/50Hz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制冷剂 R410A/590g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制冷量(W) ≥ 3500W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制热量(W) ≥ 3500W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制冷输入功率(W) ≥1300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制热输入功率(W) ≥1200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制冷电流（A) ≥5.6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制热电流（A) ≥ 5.2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最大输入功率(W) ≥1500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最大电流（A) ≥6.5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设计压力最高（kPa）≥ 4500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 xml:space="preserve">设计压力最低（kPa）≥ 3000 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最大风量（l/s）≥150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3.4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储血冰箱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储血冰箱1台，技术要求如下：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温度控制：风冷，电加热补偿系统，精确微电脑控制，箱内温度恒定控制在4±1℃范围内；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内置蓄电池，断电后可持续显示箱内温度及声光报警48 小时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三种报警方式( 声音蜂鸣报警、灯光闪烁报警、远程信号报警)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五种故障报警( 高低温报警、断电报警、传感器故障报警、开门报警、后备电池低电量报警)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透明真空钢化玻璃门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自动化霜功能，适合高温高湿地区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安全门锁设计，防止随意开启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容积 ：≥106L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输入功率 ：≤160KW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箱内温度 ：4±1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存血量（400ml/袋） ：≥54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3.5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工作设施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长条工作台(木质,下部储物柜)1件，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采血台(木质)1件，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采血椅（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可</w:t>
            </w:r>
            <w:r>
              <w:rPr>
                <w:rFonts w:hint="eastAsia" w:ascii="宋体" w:hAnsi="宋体"/>
                <w:bCs/>
                <w:szCs w:val="21"/>
              </w:rPr>
              <w:t>调节扶手）2件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3.6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服务设施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饮水机、垃圾桶组合柜(木质，下部配1个不锈钢垃圾桶随车带走)1件，可升降圆凳2件，吊柜一套(木质，两侧均有)，后部休息床垫1件，后高台通顶储物柜（与顶部及侧围之间密封无空隙）1件，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驾驶区上储物柜1套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台式温热饮水机1台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医疗舱灭火器2KG 1个、衣帽钩2个、垃圾桶1个、换气扇1个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3.7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灯光设施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紫外线消毒灯2盏（配定时器），面板灯1套，工作台射灯一套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3.8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市电配电设施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配电箱（含漏电保护器，空气开关、插座），服务电瓶，2kw充逆变一体机，30m电缆盘1件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3.9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发电设施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锂电系统一套，包含电池箱、充电机、逆变器、隔离变压器。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锂电池参数：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锂电池参数电量≥309.12V *125Ah（38.64kWh），电压范围240-350.4V；能量密度≥138Wh/kg；提供能量密度第三方检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电池放电率≥93%,能满足整车保证8年电池电量衰减率≤30%。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锂电池系统防护等级：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3.1、电源系统应设有泄压和压力平衡装置，泄压压强不大于50 kPa，符合GB38032要求；提供第三方检测报告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3.2、防火要求：B级电压部件所用绝缘材料的阻燃性能应符合UL94规定的水平燃烧HF-1级，垂直燃烧V—0级；提供第三方检测报告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3.3、安全性能：预处理、振动、机械冲击、模拟碰撞、挤压、湿热循环、浸水安全、热稳定性（外部火烧、热扩散）、温度冲击、盐雾、高海拔、过温保护、过流保护、外部短路保护、过充电保护、过放电保护符合GB38031标准；提供第三方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3.4、电池箱体达到IP68防护要求，试验后，电池包内部无进水、进尘，符合GB/T4208标准；提供检测报告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3.5、电池箱具备加热功能，配置加热管理控制模块和加热器，能够控制电池箱体内的温度，具备加热模式，加热速率大于0.25℃/min；提供检测报告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3.6、高标准严格验证：热扩散、BMS功能及SOC精度、单体针刺、电气间隙和爬电距离、绝缘电阻；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3.7、电池组主串联回路须内置快速熔断器，以保证电源系统发生短路时可断开主电路。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电池管理系统（BMS）1套：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4.1、SOC计算精度误差：≤8%；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4.2、单体温度采集范围：-40℃~85℃；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4.3、单体温度采集精度：≤±2℃；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4.4、单体电压采集范围：0V~5V；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4.5、单体电压采集精度：±5mv；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4.6、总电压采集范围：0V~600V；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4.7、总电压采集精度：±0.5%FSR；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4.8、电流采集精度：±0.2A；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4.9、具有电压、电流、温度、高压、均衡、CAN通讯故障诊断功能；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4.10、具有过压、欠压、过流、过温、绝缘、充电超出限制、放电超出限制等保护及报警功能；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4.11、具有绝缘电阻监测功能；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4.12、具有CAN通讯功能；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4.13、具有SOC过低报警；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4.14、具备SOH估算功能，监控电池健康状态功能；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4.15、具有继电器以及高压环路互锁诊断功能。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锂电池配套系统：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5.1、锂电池7英寸显示屏:可以实时显示电池组电压、电流、剩余电量、电池组温度、电池单体最低电压数值及电池系统单体电压过低报警提示信息；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5.2、逆变器：额定输出功率6.5kW,输出电压AC220V,额定输出电流29.5A，输入电压：DC200V~DC450V，具有过温、过载、输出短路、过电流、过电压、欠电压、工作时负载突变等即时停机保护功能；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5.3、隔离变压器：输入电压AC220V、50Hz，输出电压AC220V、50Hz，额定容量≥6KVA；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5.4、直流充电桩1件, 额定输出功率20kW, 最大充电电流50A,输出宽电压范围DC50V-DC750V；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5.5、锂电系统操作方便，按下总开关和逆变开关电池即可工作。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3.10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消毒机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空气消毒机1件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3.11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遮阳棚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3m手动遮阳棚1套,房车配色,车身右侧安装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3.12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监控系统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监控系统1套（2个摄像头，1个照前门，1个从后照整车）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3.13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无线网络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5G无线网络(不含资费卡)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3.14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车辆平衡系统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机械支撑1套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3.15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加装线束及线束防护要求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采用汽车用薄壁绝缘低压电线。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加装低压线束采用汽车用薄壁绝缘低压电线，电线为镀锡铜线。（提供第三方机构出具的检测报告扫描件）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线束耐温性能：高温压力（105℃，4h）--耐压（3%NaCl盐水中浸渍10min后，1kV，1min）、低温冲击（-15℃，4h）--（100g，100mm）--冲击后耐压（3%NaCl盐水中浸渍10min后，1kV，1min）、低温卷绕（-40℃，4h）--卷烧（10mm，0.5kg，3圈）--卷烧后耐压（3%NaCl盐水中浸渍10min后，1kV，1min），按照GB/T 25085标准进行测试，无裂纹，无击穿。（提供第三方机构出具的检测报告扫描件）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线束耐压性能：耐电压试验（3%NaCl盐水中浸渍4h后，1kV，30min），按照GB/T 25085标准进行测试，无击穿。（提供第三方机构出具的检测报告扫描件）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防护波纹管燃烧性能：水平燃烧特性和垂直燃烧特性分别满足GB/T 2408中的HB级和V-0级。（提供第三方机构出具的检测报告扫描件）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线束及线束防护环保性能：绿色环保，TVOC≤50μgC/g，苯和甲苯≤5μgC/g，甲醛&lt;10mg/Kg，气味等极≤3。（提供第三方机构出具的检测报告扫描件）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3.16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整车图案要求</w:t>
            </w:r>
          </w:p>
        </w:tc>
        <w:tc>
          <w:tcPr>
            <w:tcW w:w="2870" w:type="pct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外观贴膜要求不含汞、铅、镉，甲醛含量＜10mg/kg，甲苯含量＜5ug/g。（招标时提供第三方机构出具的检测报告扫描件）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依据GB/T 5209检测标准检测耐水性，耐潮湿性，耐酸耐碱性，检测无起翘、收缩、断裂和剥离现象，无光泽和颜色的明显变化，耐冲洗性能，无褪色、变色、起层、卷边的现象。（提供第三方机构出具的检测报告扫描件）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Cs/>
                <w:szCs w:val="21"/>
              </w:rPr>
              <w:t>检测延伸率、180°剥离粘接强度（初始粘接强度）、180°剥离粘接强度（最终粘接强度），均检测合格。（招标时提供第三方机构出具的检测报告扫描件）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spacing w:line="360" w:lineRule="auto"/>
        <w:ind w:firstLine="480" w:firstLineChars="200"/>
        <w:outlineLvl w:val="0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firstLine="480" w:firstLineChars="200"/>
        <w:outlineLvl w:val="0"/>
        <w:rPr>
          <w:sz w:val="24"/>
        </w:rPr>
      </w:pPr>
      <w:r>
        <w:rPr>
          <w:rFonts w:ascii="Times New Roman" w:hAnsi="Times New Roman" w:cs="Times New Roman"/>
          <w:sz w:val="24"/>
        </w:rPr>
        <w:t>加注“</w:t>
      </w:r>
      <w:r>
        <w:rPr>
          <w:rFonts w:hint="eastAsia" w:ascii="宋体" w:hAnsi="宋体" w:eastAsia="宋体" w:cs="宋体"/>
          <w:sz w:val="24"/>
        </w:rPr>
        <w:t>★</w:t>
      </w:r>
      <w:r>
        <w:rPr>
          <w:rFonts w:ascii="Times New Roman" w:hAnsi="Times New Roman" w:cs="Times New Roman"/>
          <w:sz w:val="24"/>
        </w:rPr>
        <w:t>”号条款为实质性条款，不得出现负偏离，发生负偏离即做无效标处理。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color w:val="FF0000"/>
          <w:sz w:val="32"/>
          <w:szCs w:val="24"/>
        </w:rPr>
      </w:pPr>
      <w:r>
        <w:rPr>
          <w:rFonts w:ascii="Times New Roman" w:hAnsi="Times New Roman" w:cs="Times New Roman"/>
          <w:sz w:val="24"/>
        </w:rPr>
        <w:t>加注“▲”号的产品为核心产品（如项目需求书中未明确核心产品，则视为全部产品均为核心产品）。</w:t>
      </w:r>
    </w:p>
    <w:p>
      <w:pPr>
        <w:autoSpaceDE w:val="0"/>
        <w:autoSpaceDN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八、验收标准</w:t>
      </w:r>
    </w:p>
    <w:p>
      <w:pPr>
        <w:autoSpaceDE w:val="0"/>
        <w:autoSpaceDN w:val="0"/>
        <w:spacing w:line="360" w:lineRule="auto"/>
        <w:ind w:firstLine="480" w:firstLineChars="200"/>
        <w:rPr>
          <w:b/>
          <w:sz w:val="24"/>
        </w:rPr>
      </w:pPr>
      <w:r>
        <w:rPr>
          <w:rFonts w:hint="eastAsia" w:ascii="Times New Roman" w:hAnsi="Times New Roman" w:cs="Times New Roman"/>
          <w:sz w:val="24"/>
        </w:rPr>
        <w:t>车辆符合现行国家标准要求。</w:t>
      </w:r>
    </w:p>
    <w:p>
      <w:pPr>
        <w:autoSpaceDE w:val="0"/>
        <w:autoSpaceDN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九、其他要求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968AA"/>
    <w:multiLevelType w:val="singleLevel"/>
    <w:tmpl w:val="ABC968A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935DBF"/>
    <w:multiLevelType w:val="multilevel"/>
    <w:tmpl w:val="15935DBF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90"/>
    <w:rsid w:val="00023882"/>
    <w:rsid w:val="000255F7"/>
    <w:rsid w:val="00055D49"/>
    <w:rsid w:val="00064C61"/>
    <w:rsid w:val="00152FEE"/>
    <w:rsid w:val="001C4E16"/>
    <w:rsid w:val="002040DF"/>
    <w:rsid w:val="002247B5"/>
    <w:rsid w:val="002C6CD7"/>
    <w:rsid w:val="003314A0"/>
    <w:rsid w:val="0035432B"/>
    <w:rsid w:val="00416FA1"/>
    <w:rsid w:val="00454190"/>
    <w:rsid w:val="004E1E72"/>
    <w:rsid w:val="005064C0"/>
    <w:rsid w:val="00612EBB"/>
    <w:rsid w:val="00623FF4"/>
    <w:rsid w:val="006276D9"/>
    <w:rsid w:val="006472E4"/>
    <w:rsid w:val="006A1680"/>
    <w:rsid w:val="006D07B3"/>
    <w:rsid w:val="006D7E4E"/>
    <w:rsid w:val="0071453E"/>
    <w:rsid w:val="00761D16"/>
    <w:rsid w:val="00772B8E"/>
    <w:rsid w:val="007E6A8F"/>
    <w:rsid w:val="008C4CB6"/>
    <w:rsid w:val="009A4121"/>
    <w:rsid w:val="009C6F73"/>
    <w:rsid w:val="009E4D5D"/>
    <w:rsid w:val="00A128B3"/>
    <w:rsid w:val="00A755A5"/>
    <w:rsid w:val="00A82DFF"/>
    <w:rsid w:val="00AC01E8"/>
    <w:rsid w:val="00AD1176"/>
    <w:rsid w:val="00AD1BC9"/>
    <w:rsid w:val="00B77D8F"/>
    <w:rsid w:val="00C0258D"/>
    <w:rsid w:val="00C7308E"/>
    <w:rsid w:val="00D029AF"/>
    <w:rsid w:val="00D04B99"/>
    <w:rsid w:val="00D51DCF"/>
    <w:rsid w:val="00D81F21"/>
    <w:rsid w:val="00DA01D0"/>
    <w:rsid w:val="00DD604E"/>
    <w:rsid w:val="00DE3800"/>
    <w:rsid w:val="00DF73C8"/>
    <w:rsid w:val="00EA5061"/>
    <w:rsid w:val="00EB4A86"/>
    <w:rsid w:val="00F449C4"/>
    <w:rsid w:val="00F621A0"/>
    <w:rsid w:val="00F75883"/>
    <w:rsid w:val="00F9274C"/>
    <w:rsid w:val="080261BB"/>
    <w:rsid w:val="0DD33AE0"/>
    <w:rsid w:val="0DF61125"/>
    <w:rsid w:val="10E91062"/>
    <w:rsid w:val="16C62AAA"/>
    <w:rsid w:val="216461F3"/>
    <w:rsid w:val="2F0A6F7E"/>
    <w:rsid w:val="2F736F71"/>
    <w:rsid w:val="2FD87F92"/>
    <w:rsid w:val="350A1010"/>
    <w:rsid w:val="3E2E70CA"/>
    <w:rsid w:val="431B2CDA"/>
    <w:rsid w:val="441C4F0F"/>
    <w:rsid w:val="4AD91B34"/>
    <w:rsid w:val="4D420BF4"/>
    <w:rsid w:val="4D666DE7"/>
    <w:rsid w:val="60EA6962"/>
    <w:rsid w:val="662938B7"/>
    <w:rsid w:val="6D5F46D0"/>
    <w:rsid w:val="7780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qFormat/>
    <w:uiPriority w:val="0"/>
    <w:pPr>
      <w:spacing w:after="120" w:line="460" w:lineRule="exact"/>
    </w:pPr>
    <w:rPr>
      <w:rFonts w:ascii="宋体" w:hAnsi="宋体" w:eastAsia="宋体" w:cs="宋体"/>
      <w:sz w:val="24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标题 字符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9"/>
    <w:link w:val="2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15">
    <w:name w:val="无间隔1"/>
    <w:basedOn w:val="1"/>
    <w:qFormat/>
    <w:uiPriority w:val="1"/>
    <w:pPr>
      <w:spacing w:line="400" w:lineRule="exact"/>
    </w:pPr>
    <w:rPr>
      <w:rFonts w:ascii="Calibri" w:hAnsi="Calibri"/>
      <w:sz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ZZYT</Company>
  <Pages>16</Pages>
  <Words>6561</Words>
  <Characters>7765</Characters>
  <Lines>8</Lines>
  <Paragraphs>2</Paragraphs>
  <TotalTime>2</TotalTime>
  <ScaleCrop>false</ScaleCrop>
  <LinksUpToDate>false</LinksUpToDate>
  <CharactersWithSpaces>7834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2024-07-03T03:20:00Z</dcterms:created>
  <dc:creator>未定义</dc:creator>
  <cp:lastModifiedBy>Administrator</cp:lastModifiedBy>
  <dcterms:modified xsi:type="dcterms:W3CDTF">2026-03-08T23:51:30Z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eyJoZGlkIjoiZGEyYzVkMjhlMzUyMGM3OTc4MDQ1ZDBjNjZhZTJkZWQiLCJ1c2VySWQiOiIxMjExMjkyMzg3In0=</vt:lpwstr>
  </property>
  <property fmtid="{D5CDD505-2E9C-101B-9397-08002B2CF9AE}" pid="3" name="KSOProductBuildVer">
    <vt:lpwstr>2052-11.8.2.10154</vt:lpwstr>
  </property>
  <property fmtid="{D5CDD505-2E9C-101B-9397-08002B2CF9AE}" pid="4" name="ICV">
    <vt:lpwstr>B0D40263F34A47E6ACB74B7B75DDAD54_12</vt:lpwstr>
  </property>
</Properties>
</file>